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sz w:val="72"/>
          <w:szCs w:val="72"/>
          <w:lang w:eastAsia="zh-CN"/>
        </w:rPr>
      </w:pPr>
      <w:bookmarkStart w:id="0" w:name="_Toc21763"/>
      <w:bookmarkStart w:id="1" w:name="_Toc5715"/>
      <w:bookmarkStart w:id="2" w:name="_Toc3431"/>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w:t>
      </w:r>
      <w:r>
        <w:rPr>
          <w:rFonts w:hint="eastAsia" w:ascii="宋体" w:hAnsi="宋体" w:eastAsia="宋体" w:cs="宋体"/>
          <w:b/>
          <w:bCs/>
          <w:sz w:val="52"/>
          <w:szCs w:val="52"/>
        </w:rPr>
        <w:t>采购项目</w:t>
      </w:r>
      <w:r>
        <w:rPr>
          <w:rFonts w:hint="eastAsia" w:ascii="宋体" w:hAnsi="宋体" w:cs="宋体"/>
          <w:b/>
          <w:bCs/>
          <w:sz w:val="52"/>
          <w:szCs w:val="52"/>
          <w:lang w:eastAsia="zh-CN"/>
        </w:rPr>
        <w:t>（</w:t>
      </w:r>
      <w:r>
        <w:rPr>
          <w:rFonts w:hint="eastAsia" w:ascii="宋体" w:hAnsi="宋体" w:cs="宋体"/>
          <w:b/>
          <w:bCs/>
          <w:sz w:val="52"/>
          <w:szCs w:val="52"/>
          <w:lang w:val="en-US" w:eastAsia="zh-CN"/>
        </w:rPr>
        <w:t>二次</w:t>
      </w:r>
      <w:bookmarkStart w:id="48" w:name="_GoBack"/>
      <w:bookmarkEnd w:id="48"/>
      <w:r>
        <w:rPr>
          <w:rFonts w:hint="eastAsia" w:ascii="宋体" w:hAnsi="宋体" w:cs="宋体"/>
          <w:b/>
          <w:bCs/>
          <w:sz w:val="52"/>
          <w:szCs w:val="52"/>
          <w:lang w:eastAsia="zh-CN"/>
        </w:rPr>
        <w:t>）</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14776"/>
      <w:bookmarkStart w:id="5" w:name="_Toc30407"/>
      <w:bookmarkStart w:id="6" w:name="_Toc31896"/>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hint="eastAsia" w:ascii="黑体" w:hAnsi="黑体" w:eastAsia="黑体" w:cs="黑体"/>
          <w:kern w:val="0"/>
          <w:sz w:val="28"/>
          <w:szCs w:val="28"/>
          <w:lang w:eastAsia="zh-CN"/>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报价单</w:t>
      </w:r>
      <w:r>
        <w:rPr>
          <w:rFonts w:hint="eastAsia" w:ascii="黑体" w:hAnsi="黑体" w:eastAsia="黑体" w:cs="黑体"/>
          <w:kern w:val="0"/>
          <w:sz w:val="28"/>
          <w:szCs w:val="28"/>
          <w:lang w:eastAsia="zh-CN"/>
        </w:rPr>
        <w:t>）</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6"/>
        <w:gridCol w:w="3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5896"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469"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5896" w:type="dxa"/>
          </w:tcPr>
          <w:p>
            <w:pPr>
              <w:adjustRightInd w:val="0"/>
              <w:snapToGrid w:val="0"/>
              <w:spacing w:line="400" w:lineRule="exact"/>
              <w:jc w:val="center"/>
              <w:rPr>
                <w:rFonts w:ascii="仿宋" w:hAnsi="仿宋" w:eastAsia="仿宋" w:cs="仿宋"/>
                <w:sz w:val="28"/>
                <w:szCs w:val="28"/>
              </w:rPr>
            </w:pPr>
          </w:p>
        </w:tc>
        <w:tc>
          <w:tcPr>
            <w:tcW w:w="3469" w:type="dxa"/>
          </w:tcPr>
          <w:p>
            <w:pPr>
              <w:adjustRightInd w:val="0"/>
              <w:snapToGrid w:val="0"/>
              <w:spacing w:line="400" w:lineRule="exact"/>
              <w:jc w:val="both"/>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lang w:val="en-US"/>
        </w:rPr>
      </w:pPr>
      <w:bookmarkStart w:id="11" w:name="_Toc31347"/>
      <w:bookmarkStart w:id="12" w:name="_Toc389731559"/>
      <w:bookmarkStart w:id="13" w:name="_Toc390084957"/>
      <w:bookmarkStart w:id="14" w:name="_Toc396597543"/>
      <w:bookmarkStart w:id="15" w:name="_Toc390078451"/>
      <w:bookmarkStart w:id="16" w:name="_Toc390084893"/>
      <w:bookmarkStart w:id="17" w:name="_Toc390084417"/>
      <w:bookmarkStart w:id="18" w:name="_Toc20855"/>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8.本项目不接受联合体投标。</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hint="eastAsia" w:ascii="黑体" w:hAnsi="黑体" w:eastAsia="黑体" w:cs="黑体"/>
          <w:bCs/>
          <w:kern w:val="0"/>
          <w:sz w:val="28"/>
          <w:szCs w:val="28"/>
          <w:lang w:val="en-US" w:eastAsia="zh-CN"/>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0078452"/>
      <w:bookmarkStart w:id="20" w:name="_Toc392272782"/>
      <w:bookmarkStart w:id="21" w:name="_Toc390084958"/>
      <w:bookmarkStart w:id="22" w:name="_Toc390084418"/>
      <w:bookmarkStart w:id="23" w:name="_Toc15824"/>
      <w:bookmarkStart w:id="24" w:name="_Toc390084894"/>
      <w:bookmarkStart w:id="25" w:name="_Toc396597544"/>
      <w:bookmarkStart w:id="26" w:name="_Toc390078453"/>
      <w:bookmarkStart w:id="27" w:name="_Toc390084895"/>
      <w:bookmarkStart w:id="28" w:name="_Toc390084419"/>
      <w:bookmarkStart w:id="29" w:name="_Toc390084959"/>
      <w:bookmarkStart w:id="30" w:name="_Toc389731561"/>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hint="eastAsia" w:ascii="黑体" w:hAnsi="黑体" w:eastAsia="黑体" w:cs="黑体"/>
          <w:bCs/>
          <w:color w:val="000000"/>
          <w:sz w:val="28"/>
          <w:szCs w:val="28"/>
          <w:lang w:val="en-US" w:eastAsia="zh-CN"/>
        </w:rPr>
      </w:pPr>
      <w:bookmarkStart w:id="31" w:name="OLE_LINK1"/>
    </w:p>
    <w:p>
      <w:pPr>
        <w:spacing w:line="480" w:lineRule="auto"/>
        <w:ind w:firstLine="3360" w:firstLineChars="1200"/>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b/>
          <w:bCs/>
          <w:sz w:val="28"/>
          <w:szCs w:val="28"/>
          <w:lang w:val="en-US" w:eastAsia="zh-CN"/>
        </w:rPr>
      </w:pPr>
    </w:p>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hint="eastAsia" w:ascii="宋体" w:hAnsi="宋体" w:cs="宋体"/>
          <w:bCs/>
          <w:sz w:val="28"/>
          <w:szCs w:val="28"/>
        </w:rPr>
      </w:pPr>
      <w:r>
        <w:rPr>
          <w:rFonts w:hint="eastAsia" w:ascii="宋体" w:hAnsi="宋体" w:cs="宋体"/>
          <w:bCs/>
          <w:sz w:val="28"/>
          <w:szCs w:val="28"/>
        </w:rPr>
        <w:br w:type="page"/>
      </w:r>
      <w:bookmarkStart w:id="32" w:name="_Toc436814352"/>
      <w:bookmarkStart w:id="33" w:name="_Toc492671146"/>
      <w:bookmarkStart w:id="34" w:name="_Toc478141616"/>
      <w:bookmarkStart w:id="35" w:name="_Toc23896"/>
      <w:bookmarkStart w:id="36" w:name="_Toc483254679"/>
      <w:bookmarkStart w:id="37" w:name="_Toc436838237"/>
      <w:bookmarkStart w:id="38" w:name="_Toc396597564"/>
      <w:bookmarkStart w:id="39" w:name="_Toc396597546"/>
    </w:p>
    <w:p>
      <w:pPr>
        <w:rPr>
          <w:rFonts w:hint="eastAsia" w:ascii="宋体" w:hAnsi="宋体" w:cs="宋体"/>
          <w:bCs/>
          <w:sz w:val="28"/>
          <w:szCs w:val="28"/>
        </w:rPr>
      </w:pPr>
    </w:p>
    <w:p>
      <w:pPr>
        <w:rPr>
          <w:rFonts w:ascii="黑体" w:hAnsi="黑体" w:eastAsia="黑体" w:cs="黑体"/>
          <w:sz w:val="28"/>
          <w:szCs w:val="28"/>
        </w:rPr>
      </w:pPr>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1日</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90078456"/>
      <w:bookmarkStart w:id="41" w:name="_Toc14780"/>
      <w:bookmarkStart w:id="42" w:name="_Toc373314710"/>
      <w:bookmarkStart w:id="43" w:name="_Toc390084422"/>
      <w:bookmarkStart w:id="44" w:name="_Toc389731564"/>
      <w:bookmarkStart w:id="45" w:name="_Toc390084962"/>
      <w:bookmarkStart w:id="46" w:name="_Toc396597567"/>
      <w:bookmarkStart w:id="47" w:name="_Toc390084898"/>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1日</w:t>
      </w:r>
      <w:r>
        <w:rPr>
          <w:rFonts w:hint="eastAsia" w:ascii="黑体" w:hAnsi="黑体" w:eastAsia="黑体" w:cs="黑体"/>
          <w:sz w:val="28"/>
          <w:szCs w:val="28"/>
        </w:rPr>
        <w:t>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51A0D14"/>
    <w:rsid w:val="057C6E41"/>
    <w:rsid w:val="07B45450"/>
    <w:rsid w:val="08F4346E"/>
    <w:rsid w:val="0D1A101C"/>
    <w:rsid w:val="0FFA6EBC"/>
    <w:rsid w:val="1212349F"/>
    <w:rsid w:val="16B7568B"/>
    <w:rsid w:val="17060352"/>
    <w:rsid w:val="1BF023DB"/>
    <w:rsid w:val="1CAB02C5"/>
    <w:rsid w:val="1CC7757C"/>
    <w:rsid w:val="1D4666F2"/>
    <w:rsid w:val="1F520CB4"/>
    <w:rsid w:val="237D7176"/>
    <w:rsid w:val="2497019D"/>
    <w:rsid w:val="268057F3"/>
    <w:rsid w:val="2CAD22EA"/>
    <w:rsid w:val="30A13F14"/>
    <w:rsid w:val="311B65C9"/>
    <w:rsid w:val="34313801"/>
    <w:rsid w:val="36A20B88"/>
    <w:rsid w:val="373C0A19"/>
    <w:rsid w:val="3A5C679D"/>
    <w:rsid w:val="3CE37662"/>
    <w:rsid w:val="3EC82FB3"/>
    <w:rsid w:val="3F556E9C"/>
    <w:rsid w:val="3FC25C55"/>
    <w:rsid w:val="402266F3"/>
    <w:rsid w:val="403A1C8F"/>
    <w:rsid w:val="438970F8"/>
    <w:rsid w:val="43AC2905"/>
    <w:rsid w:val="464B3DFA"/>
    <w:rsid w:val="47AD2158"/>
    <w:rsid w:val="47EA38CB"/>
    <w:rsid w:val="483A1661"/>
    <w:rsid w:val="49176114"/>
    <w:rsid w:val="4ABD2663"/>
    <w:rsid w:val="4DAE7818"/>
    <w:rsid w:val="4E7E71EB"/>
    <w:rsid w:val="4FDC298D"/>
    <w:rsid w:val="529E7E5B"/>
    <w:rsid w:val="54912228"/>
    <w:rsid w:val="54C8216A"/>
    <w:rsid w:val="55334A66"/>
    <w:rsid w:val="55B67488"/>
    <w:rsid w:val="5B56713D"/>
    <w:rsid w:val="5B773940"/>
    <w:rsid w:val="5E580CDA"/>
    <w:rsid w:val="5F287851"/>
    <w:rsid w:val="611E37D0"/>
    <w:rsid w:val="63220635"/>
    <w:rsid w:val="64B41760"/>
    <w:rsid w:val="68A044D6"/>
    <w:rsid w:val="6BAD2A66"/>
    <w:rsid w:val="6CC87B57"/>
    <w:rsid w:val="6D7E5C43"/>
    <w:rsid w:val="6E947720"/>
    <w:rsid w:val="6F280525"/>
    <w:rsid w:val="6F6D5B75"/>
    <w:rsid w:val="722A690B"/>
    <w:rsid w:val="73DC213A"/>
    <w:rsid w:val="74B2355F"/>
    <w:rsid w:val="76B2515A"/>
    <w:rsid w:val="77320C50"/>
    <w:rsid w:val="7A545120"/>
    <w:rsid w:val="7B676C31"/>
    <w:rsid w:val="7BB91D3B"/>
    <w:rsid w:val="7BC61238"/>
    <w:rsid w:val="7C365DE1"/>
    <w:rsid w:val="7D197407"/>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31"/>
    <w:basedOn w:val="1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2767</Words>
  <Characters>2853</Characters>
  <Lines>0</Lines>
  <Paragraphs>0</Paragraphs>
  <TotalTime>10</TotalTime>
  <ScaleCrop>false</ScaleCrop>
  <LinksUpToDate>false</LinksUpToDate>
  <CharactersWithSpaces>3182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2026-05-11T03:46:00Z</cp:lastPrinted>
  <dcterms:modified xsi:type="dcterms:W3CDTF">2026-05-18T08:25:19Z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